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Pr="008F4EB5" w:rsidRDefault="00B81113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8F4EB5">
        <w:rPr>
          <w:rFonts w:ascii="Times New Roman" w:eastAsia="Calibri" w:hAnsi="Times New Roman" w:cs="Times New Roman"/>
          <w:b/>
          <w:i/>
          <w:u w:val="single"/>
        </w:rPr>
        <w:t>22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10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.20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20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r</w:t>
      </w:r>
      <w:r w:rsidR="00464DB8" w:rsidRPr="008F4EB5">
        <w:rPr>
          <w:rFonts w:ascii="Times New Roman" w:eastAsia="Calibri" w:hAnsi="Times New Roman" w:cs="Times New Roman"/>
          <w:u w:val="single"/>
        </w:rPr>
        <w:t xml:space="preserve">. </w:t>
      </w:r>
      <w:r w:rsidRPr="008F4EB5">
        <w:rPr>
          <w:rFonts w:ascii="Times New Roman" w:eastAsia="Calibri" w:hAnsi="Times New Roman" w:cs="Times New Roman"/>
          <w:b/>
          <w:i/>
          <w:u w:val="single"/>
        </w:rPr>
        <w:t>czwartek</w:t>
      </w:r>
    </w:p>
    <w:p w:rsidR="00464DB8" w:rsidRPr="008F4EB5" w:rsidRDefault="00464DB8" w:rsidP="00464D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Calibri" w:hAnsi="Times New Roman" w:cs="Times New Roman"/>
          <w:b/>
          <w:i/>
        </w:rPr>
        <w:t>Temat:</w:t>
      </w:r>
      <w:r w:rsidRPr="008F4EB5">
        <w:rPr>
          <w:rFonts w:ascii="Times New Roman" w:eastAsia="Calibri" w:hAnsi="Times New Roman" w:cs="Times New Roman"/>
        </w:rPr>
        <w:t xml:space="preserve"> </w:t>
      </w:r>
      <w:r w:rsidR="007C24F9" w:rsidRPr="008F4EB5">
        <w:rPr>
          <w:rFonts w:ascii="Times New Roman" w:eastAsia="Times New Roman" w:hAnsi="Times New Roman" w:cs="Times New Roman"/>
          <w:lang w:eastAsia="pl-PL"/>
        </w:rPr>
        <w:t xml:space="preserve">Zapoznanie z rodzajami sztuki – malarstwo, rzeźba. Oglądanie albumów, reprodukcji. Linoryt. Film </w:t>
      </w:r>
      <w:r w:rsidR="00B81113" w:rsidRPr="008F4EB5">
        <w:rPr>
          <w:rFonts w:ascii="Times New Roman" w:eastAsia="Times New Roman" w:hAnsi="Times New Roman" w:cs="Times New Roman"/>
          <w:lang w:eastAsia="pl-PL"/>
        </w:rPr>
        <w:t>instruktażowy</w:t>
      </w:r>
      <w:r w:rsidR="007C24F9" w:rsidRPr="008F4EB5">
        <w:rPr>
          <w:rFonts w:ascii="Times New Roman" w:eastAsia="Times New Roman" w:hAnsi="Times New Roman" w:cs="Times New Roman"/>
          <w:lang w:eastAsia="pl-PL"/>
        </w:rPr>
        <w:t>.</w:t>
      </w:r>
    </w:p>
    <w:p w:rsidR="00464DB8" w:rsidRPr="008F4EB5" w:rsidRDefault="00464DB8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04B54" w:rsidRPr="008F4EB5" w:rsidRDefault="00804B54" w:rsidP="00804B54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8F4EB5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:rsidR="002D37F7" w:rsidRPr="008F4EB5" w:rsidRDefault="00804B54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8F4EB5">
        <w:rPr>
          <w:rFonts w:ascii="Times New Roman" w:eastAsia="NSimSun" w:hAnsi="Times New Roman" w:cs="Times New Roman"/>
          <w:kern w:val="3"/>
          <w:lang w:eastAsia="zh-CN" w:bidi="hi-IN"/>
        </w:rPr>
        <w:t>Dzisiaj na zajęciach</w:t>
      </w:r>
      <w:r w:rsidR="00017A05"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 z przysposobienia do pracy</w:t>
      </w:r>
      <w:r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095855"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chciałabym żebyście </w:t>
      </w:r>
      <w:r w:rsidR="004F3977"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zapoznali się z poniższym tekstem a potem wykonali linoryt według instrukcji. Wykonanie linorytu przewidziałam także na jutrzejszy dzień tj. na piątek. </w:t>
      </w:r>
      <w:r w:rsidR="00D8116A"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Wykonane prace przynieście do szkoły jak skończy się nauka zdalna </w:t>
      </w:r>
      <w:r w:rsidR="00D8116A" w:rsidRPr="008F4EB5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8116A"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. </w:t>
      </w:r>
      <w:r w:rsidRPr="008F4EB5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</w:p>
    <w:p w:rsidR="00804B54" w:rsidRPr="008F4EB5" w:rsidRDefault="00804B54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8F4EB5">
        <w:rPr>
          <w:rFonts w:ascii="Times New Roman" w:eastAsia="NSimSun" w:hAnsi="Times New Roman" w:cs="Times New Roman"/>
          <w:kern w:val="3"/>
          <w:lang w:eastAsia="zh-CN" w:bidi="hi-IN"/>
        </w:rPr>
        <w:t>Jak zawsze rodziców poproszę o pomoc.</w:t>
      </w:r>
    </w:p>
    <w:p w:rsidR="00804B54" w:rsidRPr="008F4EB5" w:rsidRDefault="00804B54" w:rsidP="00B81113">
      <w:pPr>
        <w:spacing w:after="120" w:line="240" w:lineRule="auto"/>
        <w:rPr>
          <w:rFonts w:ascii="Times New Roman" w:eastAsia="Calibri" w:hAnsi="Times New Roman" w:cs="Times New Roman"/>
        </w:rPr>
      </w:pPr>
    </w:p>
    <w:p w:rsidR="00E41334" w:rsidRPr="00E41334" w:rsidRDefault="00E41334" w:rsidP="00E4133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Times New Roman" w:hAnsi="Times New Roman" w:cs="Times New Roman"/>
          <w:b/>
          <w:i/>
          <w:lang w:eastAsia="pl-PL"/>
        </w:rPr>
        <w:t>M</w:t>
      </w:r>
      <w:r w:rsidRPr="00E41334">
        <w:rPr>
          <w:rFonts w:ascii="Times New Roman" w:eastAsia="Times New Roman" w:hAnsi="Times New Roman" w:cs="Times New Roman"/>
          <w:b/>
          <w:i/>
          <w:lang w:eastAsia="pl-PL"/>
        </w:rPr>
        <w:t>alarstwo</w:t>
      </w:r>
      <w:r w:rsidRPr="008F4EB5">
        <w:rPr>
          <w:rFonts w:ascii="Times New Roman" w:eastAsia="Times New Roman" w:hAnsi="Times New Roman" w:cs="Times New Roman"/>
          <w:lang w:eastAsia="pl-PL"/>
        </w:rPr>
        <w:t xml:space="preserve"> to </w:t>
      </w:r>
      <w:r w:rsidRPr="00E41334">
        <w:rPr>
          <w:rFonts w:ascii="Times New Roman" w:eastAsia="Times New Roman" w:hAnsi="Times New Roman" w:cs="Times New Roman"/>
          <w:lang w:eastAsia="pl-PL"/>
        </w:rPr>
        <w:t xml:space="preserve">gałąź sztuk plastycznych, której istotą jest posługiwanie się linią i barwą (niekiedy tylko plamą barwną) na płaszczyźnie. </w:t>
      </w:r>
    </w:p>
    <w:p w:rsidR="00E41334" w:rsidRPr="00E41334" w:rsidRDefault="00E41334" w:rsidP="00E41334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>Zakres pojęcia malarstwa jest bardzo szeroki. Malarstwo, znane niemal od zarania ludzkości we wszystkich prawie środowiskach i kręgach kulturowych, służyło różnym celom</w:t>
      </w:r>
      <w:r w:rsidRPr="008F4EB5">
        <w:rPr>
          <w:rFonts w:ascii="Times New Roman" w:eastAsia="Times New Roman" w:hAnsi="Times New Roman" w:cs="Times New Roman"/>
          <w:lang w:eastAsia="pl-PL"/>
        </w:rPr>
        <w:t>.</w:t>
      </w:r>
      <w:r w:rsidRPr="00E41334">
        <w:rPr>
          <w:rFonts w:ascii="Times New Roman" w:eastAsia="Times New Roman" w:hAnsi="Times New Roman" w:cs="Times New Roman"/>
          <w:lang w:eastAsia="pl-PL"/>
        </w:rPr>
        <w:t xml:space="preserve"> W zależności od przeznaczenia i wielkości rozróżnia się malarstwo monumentalne lub dekoracyjne (związane z architekturą), malarstwo sztalugowe (obrazy przenośne), malarstwo książkow</w:t>
      </w:r>
      <w:r w:rsidRPr="008F4EB5">
        <w:rPr>
          <w:rFonts w:ascii="Times New Roman" w:eastAsia="Times New Roman" w:hAnsi="Times New Roman" w:cs="Times New Roman"/>
          <w:lang w:eastAsia="pl-PL"/>
        </w:rPr>
        <w:t>e</w:t>
      </w:r>
      <w:r w:rsidRPr="00E41334">
        <w:rPr>
          <w:rFonts w:ascii="Times New Roman" w:eastAsia="Times New Roman" w:hAnsi="Times New Roman" w:cs="Times New Roman"/>
          <w:lang w:eastAsia="pl-PL"/>
        </w:rPr>
        <w:t xml:space="preserve">, malarstwo </w:t>
      </w:r>
      <w:hyperlink r:id="rId4" w:tooltip="miniatura" w:history="1">
        <w:r w:rsidRPr="00E41334">
          <w:rPr>
            <w:rFonts w:ascii="Times New Roman" w:eastAsia="Times New Roman" w:hAnsi="Times New Roman" w:cs="Times New Roman"/>
            <w:lang w:eastAsia="pl-PL"/>
          </w:rPr>
          <w:t>miniaturowe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malarstwo zdobnicze (związane głównie z rzemiosłem artystycznym). Ze względu na tematykę malarstwo dzieli się na przedstawiające — religijno-mitologiczno-historyczne, </w:t>
      </w:r>
      <w:hyperlink r:id="rId5" w:tooltip="pejzażowe malarstwo" w:history="1">
        <w:r w:rsidRPr="00E41334">
          <w:rPr>
            <w:rFonts w:ascii="Times New Roman" w:eastAsia="Times New Roman" w:hAnsi="Times New Roman" w:cs="Times New Roman"/>
            <w:lang w:eastAsia="pl-PL"/>
          </w:rPr>
          <w:t>pejzażowe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martwą naturę, rodzajowe, </w:t>
      </w:r>
      <w:hyperlink r:id="rId6" w:tooltip="portret" w:history="1">
        <w:r w:rsidRPr="00E41334">
          <w:rPr>
            <w:rFonts w:ascii="Times New Roman" w:eastAsia="Times New Roman" w:hAnsi="Times New Roman" w:cs="Times New Roman"/>
            <w:lang w:eastAsia="pl-PL"/>
          </w:rPr>
          <w:t>portret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wnętrze oraz </w:t>
      </w:r>
      <w:r w:rsidRPr="008F4EB5">
        <w:rPr>
          <w:rFonts w:ascii="Times New Roman" w:eastAsia="Times New Roman" w:hAnsi="Times New Roman" w:cs="Times New Roman"/>
          <w:lang w:eastAsia="pl-PL"/>
        </w:rPr>
        <w:t>sztukę abstrakcyjną</w:t>
      </w:r>
      <w:r w:rsidRPr="00E41334">
        <w:rPr>
          <w:rFonts w:ascii="Times New Roman" w:eastAsia="Times New Roman" w:hAnsi="Times New Roman" w:cs="Times New Roman"/>
          <w:lang w:eastAsia="pl-PL"/>
        </w:rPr>
        <w:t xml:space="preserve">. Innym kryterium podziału malarstwa są techniki malarskie </w:t>
      </w:r>
      <w:hyperlink r:id="rId7" w:tooltip="olejne malarstwo" w:history="1">
        <w:r w:rsidRPr="00E41334">
          <w:rPr>
            <w:rFonts w:ascii="Times New Roman" w:eastAsia="Times New Roman" w:hAnsi="Times New Roman" w:cs="Times New Roman"/>
            <w:lang w:eastAsia="pl-PL"/>
          </w:rPr>
          <w:t>olejne malarstwo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hyperlink r:id="rId8" w:tooltip="akwarela" w:history="1">
        <w:r w:rsidRPr="00E41334">
          <w:rPr>
            <w:rFonts w:ascii="Times New Roman" w:eastAsia="Times New Roman" w:hAnsi="Times New Roman" w:cs="Times New Roman"/>
            <w:lang w:eastAsia="pl-PL"/>
          </w:rPr>
          <w:t>akwarela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hyperlink r:id="rId9" w:tooltip="pastel" w:history="1">
        <w:r w:rsidRPr="00E41334">
          <w:rPr>
            <w:rFonts w:ascii="Times New Roman" w:eastAsia="Times New Roman" w:hAnsi="Times New Roman" w:cs="Times New Roman"/>
            <w:lang w:eastAsia="pl-PL"/>
          </w:rPr>
          <w:t>pastel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hyperlink r:id="rId10" w:tooltip="fresk" w:history="1">
        <w:r w:rsidRPr="00E41334">
          <w:rPr>
            <w:rFonts w:ascii="Times New Roman" w:eastAsia="Times New Roman" w:hAnsi="Times New Roman" w:cs="Times New Roman"/>
            <w:lang w:eastAsia="pl-PL"/>
          </w:rPr>
          <w:t>fresk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hyperlink r:id="rId11" w:tooltip="mozaika" w:history="1">
        <w:r w:rsidRPr="00E41334">
          <w:rPr>
            <w:rFonts w:ascii="Times New Roman" w:eastAsia="Times New Roman" w:hAnsi="Times New Roman" w:cs="Times New Roman"/>
            <w:lang w:eastAsia="pl-PL"/>
          </w:rPr>
          <w:t>mozaika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hyperlink r:id="rId12" w:tooltip="witraż" w:history="1">
        <w:r w:rsidRPr="00E41334">
          <w:rPr>
            <w:rFonts w:ascii="Times New Roman" w:eastAsia="Times New Roman" w:hAnsi="Times New Roman" w:cs="Times New Roman"/>
            <w:lang w:eastAsia="pl-PL"/>
          </w:rPr>
          <w:t>witraż</w:t>
        </w:r>
      </w:hyperlink>
      <w:r w:rsidRPr="00E41334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E41334" w:rsidRPr="00E41334" w:rsidRDefault="009B6215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8F4EB5">
        <w:rPr>
          <w:rFonts w:ascii="Times New Roman" w:eastAsia="Calibri" w:hAnsi="Times New Roman" w:cs="Times New Roman"/>
          <w:i/>
        </w:rPr>
        <w:t>Przykładowe obrazy: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6830D09B" wp14:editId="3998F855">
            <wp:extent cx="2051685" cy="1630045"/>
            <wp:effectExtent l="0" t="0" r="5715" b="8255"/>
            <wp:docPr id="37" name="Obraz 37" descr="https://mm.pwn.pl/ency/jpg/215x171/1u/d20i0157.jpg">
              <a:hlinkClick xmlns:a="http://schemas.openxmlformats.org/drawingml/2006/main" r:id="rId13" tooltip="&quot;&lt;span class=&quot;tytul&quot;&gt;Kokoschka &lt;span class=&quot;imie&quot;&gt;Oskar&lt;/span&gt;, &lt;span class=&quot;tytuldziela&quot;&gt;Most Karola&lt;/span&gt;, &lt;/span&gt;&lt;span class=&quot;def&quot;&gt;&lt;/span&gt; &lt;span class=&quot;tekst&quot;&gt;1934 — Národní galerie, Praga &lt;/span&gt;&lt;span class=&quot;enc-powiazane-galeria-copyright&quot;&gt;fot. 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m.pwn.pl/ency/jpg/215x171/1u/d20i0157.jpg">
                      <a:hlinkClick r:id="rId13" tooltip="&quot;&lt;span class=&quot;tytul&quot;&gt;Kokoschka &lt;span class=&quot;imie&quot;&gt;Oskar&lt;/span&gt;, &lt;span class=&quot;tytuldziela&quot;&gt;Most Karola&lt;/span&gt;, &lt;/span&gt;&lt;span class=&quot;def&quot;&gt;&lt;/span&gt; &lt;span class=&quot;tekst&quot;&gt;1934 — Národní galerie, Praga &lt;/span&gt;&lt;span class=&quot;enc-powiazane-galeria-copyright&quot;&gt;fot. 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 xml:space="preserve">Kokoschka Oskar, Most Karola, 1934 —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Národní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 galerie, Praga fot. 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11AD8BC5" wp14:editId="5E0B58D0">
            <wp:extent cx="2051685" cy="1630045"/>
            <wp:effectExtent l="0" t="0" r="5715" b="8255"/>
            <wp:docPr id="40" name="Obraz 40" descr="https://mm.pwn.pl/ency/jpg/215x171/19/d88i0571.jpg">
              <a:hlinkClick xmlns:a="http://schemas.openxmlformats.org/drawingml/2006/main" r:id="rId15" tooltip="&quot;&lt;span class=&quot;tytul&quot;&gt;Rawenna, mozaika z kościoła S. Vitale&lt;/span&gt;&lt;span class=&quot;def&quot;&gt;&lt;/span&gt; &lt;span class=&quot;enc-powiazane-galeria-copyright&quot;&gt;fot. B. Kowalewska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m.pwn.pl/ency/jpg/215x171/19/d88i0571.jpg">
                      <a:hlinkClick r:id="rId15" tooltip="&quot;&lt;span class=&quot;tytul&quot;&gt;Rawenna, mozaika z kościoła S. Vitale&lt;/span&gt;&lt;span class=&quot;def&quot;&gt;&lt;/span&gt; &lt;span class=&quot;enc-powiazane-galeria-copyright&quot;&gt;fot. B. Kowalewska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 xml:space="preserve">Rawenna, mozaika z kościoła S.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Vitale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 fot. B. Kowalewska/Archiwum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7662B125" wp14:editId="159E72F5">
            <wp:extent cx="2051685" cy="1630045"/>
            <wp:effectExtent l="0" t="0" r="5715" b="8255"/>
            <wp:docPr id="42" name="Obraz 42" descr="https://mm.pwn.pl/ency/jpg/215x171/28/d89i6267.jpg">
              <a:hlinkClick xmlns:a="http://schemas.openxmlformats.org/drawingml/2006/main" r:id="rId17" tooltip="&quot;&lt;span class=&quot;tytul&quot;&gt;Monet &lt;span class=&quot;imie&quot;&gt;Claude&lt;/span&gt;, &lt;span class=&quot;tytuldziela&quot;&gt;Lilie wodne&lt;/span&gt;, &lt;/span&gt;&lt;span class=&quot;def&quot;&gt;1910 — zbiory prywatne&lt;/span&gt; &lt;span class=&quot;enc-powiazane-galeria-copyright&quot;&gt;fot. 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m.pwn.pl/ency/jpg/215x171/28/d89i6267.jpg">
                      <a:hlinkClick r:id="rId17" tooltip="&quot;&lt;span class=&quot;tytul&quot;&gt;Monet &lt;span class=&quot;imie&quot;&gt;Claude&lt;/span&gt;, &lt;span class=&quot;tytuldziela&quot;&gt;Lilie wodne&lt;/span&gt;, &lt;/span&gt;&lt;span class=&quot;def&quot;&gt;1910 — zbiory prywatne&lt;/span&gt; &lt;span class=&quot;enc-powiazane-galeria-copyright&quot;&gt;fot. 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>Monet Claude, Lilie wodne, 1910 — zbiory prywatne fot. 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lastRenderedPageBreak/>
        <w:drawing>
          <wp:inline distT="0" distB="0" distL="0" distR="0" wp14:anchorId="343F8300" wp14:editId="09B5109D">
            <wp:extent cx="2051685" cy="1630045"/>
            <wp:effectExtent l="0" t="0" r="5715" b="8255"/>
            <wp:docPr id="46" name="Obraz 46" descr="https://mm.pwn.pl/ency/jpg/215x171/25/d90i1964.jpg">
              <a:hlinkClick xmlns:a="http://schemas.openxmlformats.org/drawingml/2006/main" r:id="rId19" tooltip="&quot;&lt;span class=&quot;tytul&quot;&gt;Niaux, jaskinia, malowidło naskalne, &lt;/span&gt;&lt;span class=&quot;def&quot;&gt;&lt;/span&gt; &lt;span class=&quot;tekst&quot;&gt;ok. 15 tysiąclecia p.n.e. (Francja)&lt;/span&gt;&lt;span class=&quot;enc-powiazane-galeria-copyright&quot;&gt;fot. A. Pieńkos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m.pwn.pl/ency/jpg/215x171/25/d90i1964.jpg">
                      <a:hlinkClick r:id="rId19" tooltip="&quot;&lt;span class=&quot;tytul&quot;&gt;Niaux, jaskinia, malowidło naskalne, &lt;/span&gt;&lt;span class=&quot;def&quot;&gt;&lt;/span&gt; &lt;span class=&quot;tekst&quot;&gt;ok. 15 tysiąclecia p.n.e. (Francja)&lt;/span&gt;&lt;span class=&quot;enc-powiazane-galeria-copyright&quot;&gt;fot. A. Pieńkos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Niaux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>, jaskinia, malowidło naskalne, ok. 15 tysiąclecia p.n.e. (Francja)fot. A. Pieńkos/Archiwum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41184A7C" wp14:editId="3B521D47">
            <wp:extent cx="2051685" cy="1630045"/>
            <wp:effectExtent l="0" t="0" r="5715" b="8255"/>
            <wp:docPr id="52" name="Obraz 52" descr="https://mm.pwn.pl/ency/jpg/215x171/2o/d94i6957.jpg">
              <a:hlinkClick xmlns:a="http://schemas.openxmlformats.org/drawingml/2006/main" r:id="rId21" tooltip="&quot;&lt;span class=&quot;tytul&quot;&gt;Cézanne &lt;span class=&quot;imie&quot;&gt;Paul&lt;/span&gt;, &lt;span class=&quot;tytuldziela&quot;&gt;Naczynia, owoce i obrus przed komodą&lt;/span&gt;, &lt;/span&gt;&lt;span class=&quot;def&quot;&gt; olej na płótnie, ok. 1885 — Neue Pinakothek, Monachium&lt;/span&gt; &lt;span class=&quot;enc-powiazane-galeria-copyright&quot;&gt;fot. 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m.pwn.pl/ency/jpg/215x171/2o/d94i6957.jpg">
                      <a:hlinkClick r:id="rId21" tooltip="&quot;&lt;span class=&quot;tytul&quot;&gt;Cézanne &lt;span class=&quot;imie&quot;&gt;Paul&lt;/span&gt;, &lt;span class=&quot;tytuldziela&quot;&gt;Naczynia, owoce i obrus przed komodą&lt;/span&gt;, &lt;/span&gt;&lt;span class=&quot;def&quot;&gt; olej na płótnie, ok. 1885 — Neue Pinakothek, Monachium&lt;/span&gt; &lt;span class=&quot;enc-powiazane-galeria-copyright&quot;&gt;fot. 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 xml:space="preserve">Cézanne Paul, Naczynia, owoce i obrus przed komodą, olej na płótnie, ok. 1885 —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Neue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Pinakothek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>, Monachium fot. 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6F162B2F" wp14:editId="07F22C7E">
            <wp:extent cx="1271905" cy="1630045"/>
            <wp:effectExtent l="0" t="0" r="4445" b="8255"/>
            <wp:docPr id="61" name="Obraz 61" descr="https://mm.pwn.pl/ency/jpg/215x171/l/d20i0121.jpg">
              <a:hlinkClick xmlns:a="http://schemas.openxmlformats.org/drawingml/2006/main" r:id="rId23" tooltip="&quot;&lt;span class=&quot;tytul&quot;&gt;Gogh &lt;span class=&quot;imie&quot;&gt;Vincent&lt;/span&gt; &lt;b&gt;van&lt;/b&gt;, &lt;span class=&quot;tytuldziela&quot;&gt;Droga z cyprysami&lt;/span&gt;, &lt;/span&gt;&lt;span class=&quot;def&quot;&gt;&lt;/span&gt; &lt;span class=&quot;tekst&quot;&gt;1890 — Kröller-Müller Museum, Otterlo &lt;/span&gt;&lt;span class=&quot;enc-powiazane-galeria-copyright&quot;&gt;fot. 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m.pwn.pl/ency/jpg/215x171/l/d20i0121.jpg">
                      <a:hlinkClick r:id="rId23" tooltip="&quot;&lt;span class=&quot;tytul&quot;&gt;Gogh &lt;span class=&quot;imie&quot;&gt;Vincent&lt;/span&gt; &lt;b&gt;van&lt;/b&gt;, &lt;span class=&quot;tytuldziela&quot;&gt;Droga z cyprysami&lt;/span&gt;, &lt;/span&gt;&lt;span class=&quot;def&quot;&gt;&lt;/span&gt; &lt;span class=&quot;tekst&quot;&gt;1890 — Kröller-Müller Museum, Otterlo &lt;/span&gt;&lt;span class=&quot;enc-powiazane-galeria-copyright&quot;&gt;fot. 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 xml:space="preserve">Gogh Vincent </w:t>
      </w:r>
      <w:r w:rsidRPr="00E41334">
        <w:rPr>
          <w:rFonts w:ascii="Times New Roman" w:eastAsia="Times New Roman" w:hAnsi="Times New Roman" w:cs="Times New Roman"/>
          <w:b/>
          <w:bCs/>
          <w:lang w:eastAsia="pl-PL"/>
        </w:rPr>
        <w:t>van</w:t>
      </w:r>
      <w:r w:rsidRPr="00E41334">
        <w:rPr>
          <w:rFonts w:ascii="Times New Roman" w:eastAsia="Times New Roman" w:hAnsi="Times New Roman" w:cs="Times New Roman"/>
          <w:lang w:eastAsia="pl-PL"/>
        </w:rPr>
        <w:t xml:space="preserve">, Droga z cyprysami, 1890 —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Kröller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-Müller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Museum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Otterlo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 fot. 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40839B84" wp14:editId="35D62708">
            <wp:extent cx="1097280" cy="1630045"/>
            <wp:effectExtent l="0" t="0" r="7620" b="8255"/>
            <wp:docPr id="62" name="Obraz 62" descr="https://mm.pwn.pl/ency/jpg/215x171/2f/d89i6271.jpg">
              <a:hlinkClick xmlns:a="http://schemas.openxmlformats.org/drawingml/2006/main" r:id="rId25" tooltip="&quot;&lt;span class=&quot;tytul&quot;&gt;Leonardo da Vinci, &lt;span class=&quot;tytuldziela&quot;&gt;Mona Lisa&lt;/span&gt;, &lt;/span&gt;&lt;span class=&quot;def&quot;&gt;1503–06&lt;/span&gt; &lt;span class=&quot;tekst&quot;&gt; &lt;/span&gt;&lt;span class=&quot;enc-powiazane-galeria-copyright&quot;&gt;fot. 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m.pwn.pl/ency/jpg/215x171/2f/d89i6271.jpg">
                      <a:hlinkClick r:id="rId25" tooltip="&quot;&lt;span class=&quot;tytul&quot;&gt;Leonardo da Vinci, &lt;span class=&quot;tytuldziela&quot;&gt;Mona Lisa&lt;/span&gt;, &lt;/span&gt;&lt;span class=&quot;def&quot;&gt;1503–06&lt;/span&gt; &lt;span class=&quot;tekst&quot;&gt; &lt;/span&gt;&lt;span class=&quot;enc-powiazane-galeria-copyright&quot;&gt;fot. 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8F4EB5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>Leonardo da Vinci, Mona Lisa, 1503–06 fot. Archiwum Ilustracji WN PWN SA © Wydawnictwo Naukowe PWN</w:t>
      </w:r>
    </w:p>
    <w:p w:rsidR="00B81113" w:rsidRPr="00E41334" w:rsidRDefault="00B81113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57C00090" wp14:editId="5F48BAAA">
            <wp:extent cx="2051685" cy="1630045"/>
            <wp:effectExtent l="0" t="0" r="5715" b="8255"/>
            <wp:docPr id="68" name="Obraz 68" descr="https://mm.pwn.pl/ency/jpg/215x171/2/d07i0144.jpg">
              <a:hlinkClick xmlns:a="http://schemas.openxmlformats.org/drawingml/2006/main" r:id="rId27" tooltip="&quot;&lt;span class=&quot;tytul&quot;&gt;Courbet &lt;span class=&quot;imie&quot;&gt;Gustave&lt;/span&gt;, &lt;span class=&quot;tytuldziela&quot;&gt;Skały w Etretat&lt;/span&gt;, &lt;/span&gt;&lt;span class=&quot;def&quot;&gt;&lt;/span&gt; &lt;span class=&quot;tekst&quot;&gt;1869 — Von der Heydt Museum, Wuppertal&lt;/span&gt;&lt;span class=&quot;enc-powiazane-galeria-copyright&quot;&gt;fot. A. Pieńkos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m.pwn.pl/ency/jpg/215x171/2/d07i0144.jpg">
                      <a:hlinkClick r:id="rId27" tooltip="&quot;&lt;span class=&quot;tytul&quot;&gt;Courbet &lt;span class=&quot;imie&quot;&gt;Gustave&lt;/span&gt;, &lt;span class=&quot;tytuldziela&quot;&gt;Skały w Etretat&lt;/span&gt;, &lt;/span&gt;&lt;span class=&quot;def&quot;&gt;&lt;/span&gt; &lt;span class=&quot;tekst&quot;&gt;1869 — Von der Heydt Museum, Wuppertal&lt;/span&gt;&lt;span class=&quot;enc-powiazane-galeria-copyright&quot;&gt;fot. A. Pieńkos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lastRenderedPageBreak/>
        <w:t xml:space="preserve">Courbet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Gustave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, Skały w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Etretat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, 1869 — Von der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Heydt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Museum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Wuppertalfot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>. A. Pieńkos/Archiwum Ilustracji WN PWN SA © Wydawnictwo Naukowe PWN</w:t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3AD646C0" wp14:editId="5EF8C744">
            <wp:extent cx="2051685" cy="1630045"/>
            <wp:effectExtent l="0" t="0" r="5715" b="8255"/>
            <wp:docPr id="70" name="Obraz 70" descr="https://mm.pwn.pl/ency/jpg/215x171/22/d21i0106.jpg">
              <a:hlinkClick xmlns:a="http://schemas.openxmlformats.org/drawingml/2006/main" r:id="rId29" tooltip="&quot;&lt;span class=&quot;tytul&quot;&gt;Nikifor (Epifaniusz Drowniak), &lt;span class=&quot;tytuldziela&quot;&gt;Krynica willa „Maszum” Nowy Tartek&lt;/span&gt;, &lt;/span&gt;&lt;span class=&quot;def&quot;&gt;&lt;/span&gt; &lt;span class=&quot;tekst&quot;&gt;ok. 1960 — własność prywatna&lt;/span&gt;&lt;span class=&quot;enc-powiazane-galeria-copyright&quot;&gt;fot. J. Kilian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m.pwn.pl/ency/jpg/215x171/22/d21i0106.jpg">
                      <a:hlinkClick r:id="rId29" tooltip="&quot;&lt;span class=&quot;tytul&quot;&gt;Nikifor (Epifaniusz Drowniak), &lt;span class=&quot;tytuldziela&quot;&gt;Krynica willa „Maszum” Nowy Tartek&lt;/span&gt;, &lt;/span&gt;&lt;span class=&quot;def&quot;&gt;&lt;/span&gt; &lt;span class=&quot;tekst&quot;&gt;ok. 1960 — własność prywatna&lt;/span&gt;&lt;span class=&quot;enc-powiazane-galeria-copyright&quot;&gt;fot. J. Kilian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4" w:rsidRPr="00E41334" w:rsidRDefault="00E41334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41334">
        <w:rPr>
          <w:rFonts w:ascii="Times New Roman" w:eastAsia="Times New Roman" w:hAnsi="Times New Roman" w:cs="Times New Roman"/>
          <w:lang w:eastAsia="pl-PL"/>
        </w:rPr>
        <w:t xml:space="preserve">Nikifor (Epifaniusz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Drowniak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>), Krynica willa „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Maszum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” Nowy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Tartek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 xml:space="preserve">, ok. 1960 — własność </w:t>
      </w:r>
      <w:proofErr w:type="spellStart"/>
      <w:r w:rsidRPr="00E41334">
        <w:rPr>
          <w:rFonts w:ascii="Times New Roman" w:eastAsia="Times New Roman" w:hAnsi="Times New Roman" w:cs="Times New Roman"/>
          <w:lang w:eastAsia="pl-PL"/>
        </w:rPr>
        <w:t>prywatnafot</w:t>
      </w:r>
      <w:proofErr w:type="spellEnd"/>
      <w:r w:rsidRPr="00E41334">
        <w:rPr>
          <w:rFonts w:ascii="Times New Roman" w:eastAsia="Times New Roman" w:hAnsi="Times New Roman" w:cs="Times New Roman"/>
          <w:lang w:eastAsia="pl-PL"/>
        </w:rPr>
        <w:t>. J. Kilian/Archiwum Ilustracji WN PWN SA © Wydawnictwo Naukowe PWN</w:t>
      </w:r>
    </w:p>
    <w:p w:rsidR="00095855" w:rsidRPr="008F4EB5" w:rsidRDefault="00095855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:rsidR="00095855" w:rsidRPr="008F4EB5" w:rsidRDefault="001F4EDC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Times New Roman" w:hAnsi="Times New Roman" w:cs="Times New Roman"/>
          <w:b/>
          <w:i/>
          <w:lang w:eastAsia="pl-PL"/>
        </w:rPr>
        <w:t>R</w:t>
      </w:r>
      <w:r w:rsidRPr="001F4EDC">
        <w:rPr>
          <w:rFonts w:ascii="Times New Roman" w:eastAsia="Times New Roman" w:hAnsi="Times New Roman" w:cs="Times New Roman"/>
          <w:b/>
          <w:i/>
          <w:lang w:eastAsia="pl-PL"/>
        </w:rPr>
        <w:t>zeźba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 xml:space="preserve"> to </w:t>
      </w:r>
      <w:r w:rsidRPr="008F4EB5">
        <w:rPr>
          <w:rFonts w:ascii="Times New Roman" w:eastAsia="Times New Roman" w:hAnsi="Times New Roman" w:cs="Times New Roman"/>
          <w:lang w:eastAsia="pl-PL"/>
        </w:rPr>
        <w:t>dziedzina plast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>yki</w:t>
      </w:r>
      <w:r w:rsidRPr="008F4EB5">
        <w:rPr>
          <w:rFonts w:ascii="Times New Roman" w:eastAsia="Times New Roman" w:hAnsi="Times New Roman" w:cs="Times New Roman"/>
          <w:lang w:eastAsia="pl-PL"/>
        </w:rPr>
        <w:t xml:space="preserve"> twórczości symbol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>iczna</w:t>
      </w:r>
      <w:r w:rsidRPr="008F4EB5">
        <w:rPr>
          <w:rFonts w:ascii="Times New Roman" w:eastAsia="Times New Roman" w:hAnsi="Times New Roman" w:cs="Times New Roman"/>
          <w:lang w:eastAsia="pl-PL"/>
        </w:rPr>
        <w:t>, której przedmiotem jest kształtowanie kompozycji trójwymiarowych, na ogół pozbawionych funkcji użytkowych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 xml:space="preserve">. </w:t>
      </w:r>
      <w:r w:rsidRPr="008F4EB5">
        <w:rPr>
          <w:rFonts w:ascii="Times New Roman" w:eastAsia="Times New Roman" w:hAnsi="Times New Roman" w:cs="Times New Roman"/>
          <w:lang w:eastAsia="pl-PL"/>
        </w:rPr>
        <w:t>Podstawowe materiały stosowane w rzeźbie to: kamień (m.in. piaskowiec, marmur, granit), drewno (snycerstwo), metale (brąz, żelazo, metale szlachetne), glina i masy ceramicznej (terakota, fajans, porcelana), gips, wosk (ceroplastyka), kość słoniowa, laka, szlachetne i półszlachetne kamienie (gliptyka), tworzywa sztuczne oraz wszelkie inne materiały wykorzystywane w rzeźbie współcz</w:t>
      </w:r>
      <w:r w:rsidR="008F4EB5">
        <w:rPr>
          <w:rFonts w:ascii="Times New Roman" w:eastAsia="Times New Roman" w:hAnsi="Times New Roman" w:cs="Times New Roman"/>
          <w:lang w:eastAsia="pl-PL"/>
        </w:rPr>
        <w:t>esnej</w:t>
      </w:r>
      <w:bookmarkStart w:id="0" w:name="_GoBack"/>
      <w:bookmarkEnd w:id="0"/>
      <w:r w:rsidRPr="008F4EB5">
        <w:rPr>
          <w:rFonts w:ascii="Times New Roman" w:eastAsia="Times New Roman" w:hAnsi="Times New Roman" w:cs="Times New Roman"/>
          <w:lang w:eastAsia="pl-PL"/>
        </w:rPr>
        <w:t xml:space="preserve"> (np. ziemia, papier, przedmioty wzięte z otoczenia, efekty świetlne). Każdy z materiałów jest obrabiany inną techniką rzeźbiarską.</w:t>
      </w:r>
    </w:p>
    <w:p w:rsidR="00837513" w:rsidRPr="008F4EB5" w:rsidRDefault="008375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1F4EDC" w:rsidRPr="008F4EB5" w:rsidRDefault="001F4EDC" w:rsidP="001F4EDC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</w:rPr>
        <w:t>Przykładowe rzeźby: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06DCCE9B" wp14:editId="6B1B3652">
            <wp:extent cx="906145" cy="1630045"/>
            <wp:effectExtent l="0" t="0" r="8255" b="8255"/>
            <wp:docPr id="15" name="Obraz 15" descr="https://mm.pwn.pl/ency/jpg/215x171/w/d88i8383.jpg">
              <a:hlinkClick xmlns:a="http://schemas.openxmlformats.org/drawingml/2006/main" r:id="rId31" tooltip="&quot;&lt;span class=&quot;tytul&quot;&gt;Donatello, &lt;span class=&quot;tytuldziela&quot;&gt;Dawid&lt;/span&gt;, &lt;/span&gt;&lt;span class=&quot;def&quot;&gt;&lt;/span&gt; &lt;span class=&quot;tekst&quot;&gt;marmurowa rzeźba z katedry we Florencji, 1408–1409 — Museo Nationale Bargello, Florencja&lt;/span&gt;&lt;span class=&quot;enc-powiazane-galeria-copyright&quot;&gt;fot. A. Pieńkos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.pwn.pl/ency/jpg/215x171/w/d88i8383.jpg">
                      <a:hlinkClick r:id="rId31" tooltip="&quot;&lt;span class=&quot;tytul&quot;&gt;Donatello, &lt;span class=&quot;tytuldziela&quot;&gt;Dawid&lt;/span&gt;, &lt;/span&gt;&lt;span class=&quot;def&quot;&gt;&lt;/span&gt; &lt;span class=&quot;tekst&quot;&gt;marmurowa rzeźba z katedry we Florencji, 1408–1409 — Museo Nationale Bargello, Florencja&lt;/span&gt;&lt;span class=&quot;enc-powiazane-galeria-copyright&quot;&gt;fot. A. Pieńkos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Donatello, Dawid, marmurowa rzeźba z katedry we Florencji, 1408–1409 —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Museo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Nationale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Bargello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Florencjafot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A. Pieńkos/Archiwum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66A5DE82" wp14:editId="5E61EA60">
            <wp:extent cx="1582420" cy="1630045"/>
            <wp:effectExtent l="0" t="0" r="0" b="8255"/>
            <wp:docPr id="17" name="Obraz 17" descr="https://mm.pwn.pl/ency/jpg/215x171/1x/d89i6259.jpg">
              <a:hlinkClick xmlns:a="http://schemas.openxmlformats.org/drawingml/2006/main" r:id="rId33" tooltip="&quot;&lt;span class=&quot;tytul&quot;&gt;Moore &lt;span class=&quot;imie&quot;&gt;Henry&lt;/span&gt; &lt;span class=&quot;imie&quot;&gt;Spencer&lt;/span&gt;, &lt;span class=&quot;tytuldziela&quot;&gt;Król i królowa&lt;/span&gt;, &lt;/span&gt;&lt;span class=&quot;def&quot;&gt;&lt;/span&gt; &lt;span class=&quot;tekst&quot;&gt;1952–53 — Tate Gallery, Londyn&lt;/span&gt;&lt;span class=&quot;tekst&quot;&gt;&lt;/span&gt;&lt;span class=&quot;enc-powiazane-galeria-copyright&quot;&gt;fot. J. Kilian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.pwn.pl/ency/jpg/215x171/1x/d89i6259.jpg">
                      <a:hlinkClick r:id="rId33" tooltip="&quot;&lt;span class=&quot;tytul&quot;&gt;Moore &lt;span class=&quot;imie&quot;&gt;Henry&lt;/span&gt; &lt;span class=&quot;imie&quot;&gt;Spencer&lt;/span&gt;, &lt;span class=&quot;tytuldziela&quot;&gt;Król i królowa&lt;/span&gt;, &lt;/span&gt;&lt;span class=&quot;def&quot;&gt;&lt;/span&gt; &lt;span class=&quot;tekst&quot;&gt;1952–53 — Tate Gallery, Londyn&lt;/span&gt;&lt;span class=&quot;tekst&quot;&gt;&lt;/span&gt;&lt;span class=&quot;enc-powiazane-galeria-copyright&quot;&gt;fot. J. Kilian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Moore Henry Spencer, Król i królowa, 1952–53 —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Tate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Gallery,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Londynfot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Kilian/Archiwum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045608EE" wp14:editId="0B52162E">
            <wp:extent cx="1343660" cy="1630045"/>
            <wp:effectExtent l="0" t="0" r="8890" b="8255"/>
            <wp:docPr id="18" name="Obraz 18" descr="https://mm.pwn.pl/ency/jpg/215x171/0/d07i0023.jpg">
              <a:hlinkClick xmlns:a="http://schemas.openxmlformats.org/drawingml/2006/main" r:id="rId35" tooltip="&quot;&lt;span class=&quot;tytul&quot;&gt;Dubuffet &lt;span class=&quot;imie&quot;&gt;Jean&lt;/span&gt;, &lt;span class=&quot;tytuldziela&quot;&gt;Wieża figur&lt;/span&gt;, &lt;/span&gt;&lt;span class=&quot;def&quot;&gt;&lt;/span&gt; &lt;span class=&quot;tekst&quot;&gt;1988, w Issy-les-Moulineaux k. Paryża.&lt;/span&gt;&lt;span class=&quot;enc-powiazane-galeria-copyright&quot;&gt;fot. A. Pieńkos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.pwn.pl/ency/jpg/215x171/0/d07i0023.jpg">
                      <a:hlinkClick r:id="rId35" tooltip="&quot;&lt;span class=&quot;tytul&quot;&gt;Dubuffet &lt;span class=&quot;imie&quot;&gt;Jean&lt;/span&gt;, &lt;span class=&quot;tytuldziela&quot;&gt;Wieża figur&lt;/span&gt;, &lt;/span&gt;&lt;span class=&quot;def&quot;&gt;&lt;/span&gt; &lt;span class=&quot;tekst&quot;&gt;1988, w Issy-les-Moulineaux k. Paryża.&lt;/span&gt;&lt;span class=&quot;enc-powiazane-galeria-copyright&quot;&gt;fot. A. Pieńkos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lastRenderedPageBreak/>
        <w:t>Dubuffet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Jean, Wieża figur, 1988, w Issy-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les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-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Moulineaux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k.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Paryża.fot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A. Pieńkos/Archiwum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73A154EB" wp14:editId="5C1EED45">
            <wp:extent cx="2051685" cy="1630045"/>
            <wp:effectExtent l="0" t="0" r="5715" b="8255"/>
            <wp:docPr id="19" name="Obraz 19" descr="https://mm.pwn.pl/ency/jpg/215x171/x/d83i2005.jpg">
              <a:hlinkClick xmlns:a="http://schemas.openxmlformats.org/drawingml/2006/main" r:id="rId37" tooltip="&quot;&lt;span class=&quot;tytul&quot;&gt;Apollo, &lt;/span&gt;&lt;span class=&quot;def&quot;&gt;&lt;/span&gt; &lt;span class=&quot;tekst&quot;&gt;fragment fryzu Partenonu przedstawiający Apolla (w środku), Posejdona i Artemidę&lt;/span&gt;&lt;span class=&quot;enc-powiazane-galeria-copyright&quot;&gt;fot. J. Makowski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.pwn.pl/ency/jpg/215x171/x/d83i2005.jpg">
                      <a:hlinkClick r:id="rId37" tooltip="&quot;&lt;span class=&quot;tytul&quot;&gt;Apollo, &lt;/span&gt;&lt;span class=&quot;def&quot;&gt;&lt;/span&gt; &lt;span class=&quot;tekst&quot;&gt;fragment fryzu Partenonu przedstawiający Apolla (w środku), Posejdona i Artemidę&lt;/span&gt;&lt;span class=&quot;enc-powiazane-galeria-copyright&quot;&gt;fot. J. Makowski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Apollo, fragment fryzu Partenonu przedstawiający Apolla (w środku), Posejdona i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Artemidęfot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Makowski/Archiwum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0F6B8196" wp14:editId="3D4BA584">
            <wp:extent cx="1192530" cy="1630045"/>
            <wp:effectExtent l="0" t="0" r="7620" b="8255"/>
            <wp:docPr id="22" name="Obraz 22" descr="https://mm.pwn.pl/ency/jpg/215x171/2i/f33i1240.jpg">
              <a:hlinkClick xmlns:a="http://schemas.openxmlformats.org/drawingml/2006/main" r:id="rId39" tooltip="&quot;&lt;span class=&quot;tytul&quot;&gt;Donatello, &lt;span class=&quot;tytuldziela&quot;&gt;Św. Jerzy&lt;/span&gt;, &lt;/span&gt;&lt;span class=&quot;def&quot;&gt;&lt;/span&gt; &lt;span class=&quot;tekst&quot;&gt;1416 — oratorium Orsanmichele, Florencja&lt;/span&gt;&lt;span class=&quot;enc-powiazane-galeria-copyright&quot;&gt;fot. J. Kilian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.pwn.pl/ency/jpg/215x171/2i/f33i1240.jpg">
                      <a:hlinkClick r:id="rId39" tooltip="&quot;&lt;span class=&quot;tytul&quot;&gt;Donatello, &lt;span class=&quot;tytuldziela&quot;&gt;Św. Jerzy&lt;/span&gt;, &lt;/span&gt;&lt;span class=&quot;def&quot;&gt;&lt;/span&gt; &lt;span class=&quot;tekst&quot;&gt;1416 — oratorium Orsanmichele, Florencja&lt;/span&gt;&lt;span class=&quot;enc-powiazane-galeria-copyright&quot;&gt;fot. J. Kilian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Donatello, Św. Jerzy, 1416 — oratorium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Orsanmichele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Florencjafot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Kilian/Archiwum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nictwo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2A570D38" wp14:editId="7072407D">
            <wp:extent cx="2051685" cy="1630045"/>
            <wp:effectExtent l="0" t="0" r="5715" b="8255"/>
            <wp:docPr id="23" name="Obraz 23" descr="https://mm.pwn.pl/ency/jpg/215x171/22/d63i1237.jpg">
              <a:hlinkClick xmlns:a="http://schemas.openxmlformats.org/drawingml/2006/main" r:id="rId41" tooltip="&quot;&lt;span class=&quot;tytul&quot;&gt;Fidiasz, fragmenty rzeźb z &lt;span class=&quot;tytuldziela&quot;&gt;Partenonu ateńskiego&lt;/span&gt;, &lt;/span&gt;&lt;span class=&quot;def&quot;&gt;&lt;/span&gt; &lt;span class=&quot;tekst&quot;&gt;438–432 p.n.e. — British Museum, Londyn&lt;/span&gt;&lt;span class=&quot;enc-powiazane-galeria-copyright&quot;&gt;fot. J. Kilian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.pwn.pl/ency/jpg/215x171/22/d63i1237.jpg">
                      <a:hlinkClick r:id="rId41" tooltip="&quot;&lt;span class=&quot;tytul&quot;&gt;Fidiasz, fragmenty rzeźb z &lt;span class=&quot;tytuldziela&quot;&gt;Partenonu ateńskiego&lt;/span&gt;, &lt;/span&gt;&lt;span class=&quot;def&quot;&gt;&lt;/span&gt; &lt;span class=&quot;tekst&quot;&gt;438–432 p.n.e. — British Museum, Londyn&lt;/span&gt;&lt;span class=&quot;enc-powiazane-galeria-copyright&quot;&gt;fot. J. Kilian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Fidiasz, fragmenty rzeźb z Partenonu ateńskiego, 438–432 p.n.e. — British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Museum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Londynfot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Kilian/Archiwum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4A8DAA50" wp14:editId="21B4C402">
            <wp:extent cx="2051685" cy="1630045"/>
            <wp:effectExtent l="0" t="0" r="5715" b="8255"/>
            <wp:docPr id="25" name="Obraz 25" descr="https://mm.pwn.pl/ency/jpg/215x171/t/d90i7651.jpg">
              <a:hlinkClick xmlns:a="http://schemas.openxmlformats.org/drawingml/2006/main" r:id="rId43" tooltip="&quot;&lt;span class=&quot;tytul&quot;&gt;Abakanowicz Magdalena, &lt;span class=&quot;tytuldziela&quot;&gt;Nierozpoznani&lt;/span&gt;, &lt;/span&gt;&lt;span class=&quot;def&quot;&gt;&lt;/span&gt; &lt;span class=&quot;tekst&quot;&gt;instalacja stała 122 figur z żeliwa, park Cytadela w Poznaniu&lt;/span&gt;&lt;span class=&quot;enc-powiazane-galeria-copyright&quot;&gt;fot. A. Guranowski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.pwn.pl/ency/jpg/215x171/t/d90i7651.jpg">
                      <a:hlinkClick r:id="rId43" tooltip="&quot;&lt;span class=&quot;tytul&quot;&gt;Abakanowicz Magdalena, &lt;span class=&quot;tytuldziela&quot;&gt;Nierozpoznani&lt;/span&gt;, &lt;/span&gt;&lt;span class=&quot;def&quot;&gt;&lt;/span&gt; &lt;span class=&quot;tekst&quot;&gt;instalacja stała 122 figur z żeliwa, park Cytadela w Poznaniu&lt;/span&gt;&lt;span class=&quot;enc-powiazane-galeria-copyright&quot;&gt;fot. A. Guranowski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Abakanowicz Magdalena, Nierozpoznani, instalacja stała 122 figur z żeliwa, park Cytadela w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Poznaniufot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A. Guranowski/Archiwum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lastRenderedPageBreak/>
        <w:drawing>
          <wp:inline distT="0" distB="0" distL="0" distR="0" wp14:anchorId="18A7483D" wp14:editId="76264FB0">
            <wp:extent cx="986155" cy="1630045"/>
            <wp:effectExtent l="0" t="0" r="4445" b="8255"/>
            <wp:docPr id="27" name="Obraz 27" descr="https://mm.pwn.pl/ency/jpg/215x171/2a/d33i3158.jpg">
              <a:hlinkClick xmlns:a="http://schemas.openxmlformats.org/drawingml/2006/main" r:id="rId45" tooltip="&quot;&lt;span class=&quot;tytul&quot;&gt;Plersch &lt;span class=&quot;imie&quot;&gt;Jan&lt;/span&gt; &lt;span class=&quot;imie&quot;&gt;Jerzy&lt;/span&gt;, &lt;span class=&quot;tytuldziela&quot;&gt;Patriarcha Jakub&lt;/span&gt;, &lt;/span&gt;&lt;span class=&quot;def&quot;&gt;&lt;/span&gt; &lt;span class=&quot;tekst&quot;&gt; ok. 1746 — Łowicz, kościół pijarów&lt;/span&gt;&lt;span class=&quot;enc-powiazane-galeria-copyright&quot;&gt;fot. J. Sito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.pwn.pl/ency/jpg/215x171/2a/d33i3158.jpg">
                      <a:hlinkClick r:id="rId45" tooltip="&quot;&lt;span class=&quot;tytul&quot;&gt;Plersch &lt;span class=&quot;imie&quot;&gt;Jan&lt;/span&gt; &lt;span class=&quot;imie&quot;&gt;Jerzy&lt;/span&gt;, &lt;span class=&quot;tytuldziela&quot;&gt;Patriarcha Jakub&lt;/span&gt;, &lt;/span&gt;&lt;span class=&quot;def&quot;&gt;&lt;/span&gt; &lt;span class=&quot;tekst&quot;&gt; ok. 1746 — Łowicz, kościół pijarów&lt;/span&gt;&lt;span class=&quot;enc-powiazane-galeria-copyright&quot;&gt;fot. J. Sito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Plersch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Jan Jerzy, Patriarcha Jakub, ok. 1746 — Łowicz, kościół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pijarówfot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Sito/Archiwum Ilustracji WN PWN SA © Wydawnictwo Naukowe PWN</w:t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noProof/>
          <w:color w:val="0000FF"/>
          <w:lang w:eastAsia="pl-PL"/>
        </w:rPr>
        <w:drawing>
          <wp:inline distT="0" distB="0" distL="0" distR="0" wp14:anchorId="648B13CA" wp14:editId="521B77AC">
            <wp:extent cx="2051685" cy="1630045"/>
            <wp:effectExtent l="0" t="0" r="5715" b="8255"/>
            <wp:docPr id="28" name="Obraz 28" descr="https://mm.pwn.pl/ency/jpg/215x171/5/d07i0147.jpg">
              <a:hlinkClick xmlns:a="http://schemas.openxmlformats.org/drawingml/2006/main" r:id="rId47" tooltip="&quot;&lt;span class=&quot;tytul&quot;&gt;Padwa, pomnik konny kondotiera Erasma di Narni, &lt;/span&gt;&lt;span class=&quot;def&quot;&gt;&lt;/span&gt; &lt;span class=&quot;tekst&quot;&gt;zw. Gattamelatą, przykład monumetalnej rzeźby renesansowej, wykonany przez Donatella 1446–47, ustawiony 1453 przed bazyliką Św. Antoniego w Padwie.&lt;/span&gt;&lt;span class=&quot;enc-powiazane-galeria-copyright&quot;&gt;fot. J. Kilian/Archiwum Ilustracji WN PWN SA © Wydawnictwo Naukowe PWN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.pwn.pl/ency/jpg/215x171/5/d07i0147.jpg">
                      <a:hlinkClick r:id="rId47" tooltip="&quot;&lt;span class=&quot;tytul&quot;&gt;Padwa, pomnik konny kondotiera Erasma di Narni, &lt;/span&gt;&lt;span class=&quot;def&quot;&gt;&lt;/span&gt; &lt;span class=&quot;tekst&quot;&gt;zw. Gattamelatą, przykład monumetalnej rzeźby renesansowej, wykonany przez Donatella 1446–47, ustawiony 1453 przed bazyliką Św. Antoniego w Padwie.&lt;/span&gt;&lt;span class=&quot;enc-powiazane-galeria-copyright&quot;&gt;fot. J. Kilian/Archiwum Ilustracji WN PWN SA © Wydawnictwo Naukowe PWN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C" w:rsidRPr="001F4EDC" w:rsidRDefault="001F4EDC" w:rsidP="001F4E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F4EDC">
        <w:rPr>
          <w:rFonts w:ascii="Times New Roman" w:eastAsia="Times New Roman" w:hAnsi="Times New Roman" w:cs="Times New Roman"/>
          <w:lang w:eastAsia="pl-PL"/>
        </w:rPr>
        <w:t xml:space="preserve">Padwa, pomnik konny kondotiera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Erasma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 di Narni, zw. 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Gattamelatą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 xml:space="preserve">, przykład </w:t>
      </w:r>
      <w:r w:rsidR="004037DC" w:rsidRPr="008F4EB5">
        <w:rPr>
          <w:rFonts w:ascii="Times New Roman" w:eastAsia="Times New Roman" w:hAnsi="Times New Roman" w:cs="Times New Roman"/>
          <w:lang w:eastAsia="pl-PL"/>
        </w:rPr>
        <w:t>monumentalnej</w:t>
      </w:r>
      <w:r w:rsidRPr="001F4EDC">
        <w:rPr>
          <w:rFonts w:ascii="Times New Roman" w:eastAsia="Times New Roman" w:hAnsi="Times New Roman" w:cs="Times New Roman"/>
          <w:lang w:eastAsia="pl-PL"/>
        </w:rPr>
        <w:t xml:space="preserve"> rzeźby renesansowej, wykonany przez Donatella 1446–47, ustawiony 1453 przed bazyliką Św. Antoniego w </w:t>
      </w:r>
      <w:proofErr w:type="spellStart"/>
      <w:r w:rsidRPr="001F4EDC">
        <w:rPr>
          <w:rFonts w:ascii="Times New Roman" w:eastAsia="Times New Roman" w:hAnsi="Times New Roman" w:cs="Times New Roman"/>
          <w:lang w:eastAsia="pl-PL"/>
        </w:rPr>
        <w:t>Padwie.fot</w:t>
      </w:r>
      <w:proofErr w:type="spellEnd"/>
      <w:r w:rsidRPr="001F4EDC">
        <w:rPr>
          <w:rFonts w:ascii="Times New Roman" w:eastAsia="Times New Roman" w:hAnsi="Times New Roman" w:cs="Times New Roman"/>
          <w:lang w:eastAsia="pl-PL"/>
        </w:rPr>
        <w:t>. J. Kilian/Archiwum Ilustracji WN PWN SA © Wydawnictwo Naukowe PWN</w:t>
      </w:r>
    </w:p>
    <w:p w:rsidR="001F4EDC" w:rsidRPr="008F4EB5" w:rsidRDefault="001F4EDC" w:rsidP="001F4EDC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:rsidR="00804B54" w:rsidRPr="008F4EB5" w:rsidRDefault="00804B54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04B54" w:rsidRPr="008F4EB5" w:rsidRDefault="00837513" w:rsidP="00837513">
      <w:pPr>
        <w:spacing w:after="0" w:line="240" w:lineRule="auto"/>
        <w:rPr>
          <w:rFonts w:ascii="Times New Roman" w:eastAsia="Calibri" w:hAnsi="Times New Roman" w:cs="Times New Roman"/>
          <w:b/>
          <w:i/>
          <w:u w:val="single"/>
        </w:rPr>
      </w:pPr>
      <w:r w:rsidRPr="008F4EB5">
        <w:rPr>
          <w:rFonts w:ascii="Times New Roman" w:eastAsia="Calibri" w:hAnsi="Times New Roman" w:cs="Times New Roman"/>
          <w:b/>
          <w:i/>
          <w:u w:val="single"/>
        </w:rPr>
        <w:t xml:space="preserve">Po zapoznaniu się z tekstem proszę o wykonanie linorytu. Poniżej krótki opis i film </w:t>
      </w:r>
      <w:r w:rsidR="004037DC" w:rsidRPr="008F4EB5">
        <w:rPr>
          <w:rFonts w:ascii="Times New Roman" w:eastAsia="Calibri" w:hAnsi="Times New Roman" w:cs="Times New Roman"/>
          <w:b/>
          <w:i/>
          <w:u w:val="single"/>
        </w:rPr>
        <w:t>instruktażowy</w:t>
      </w:r>
      <w:r w:rsidRPr="008F4EB5">
        <w:rPr>
          <w:rFonts w:ascii="Times New Roman" w:eastAsia="Calibri" w:hAnsi="Times New Roman" w:cs="Times New Roman"/>
          <w:b/>
          <w:i/>
          <w:u w:val="single"/>
        </w:rPr>
        <w:t>.</w:t>
      </w:r>
    </w:p>
    <w:p w:rsidR="00837513" w:rsidRPr="008F4EB5" w:rsidRDefault="008375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837513" w:rsidRPr="00837513" w:rsidRDefault="004037DC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Times New Roman" w:hAnsi="Times New Roman" w:cs="Times New Roman"/>
          <w:b/>
          <w:i/>
          <w:lang w:eastAsia="pl-PL"/>
        </w:rPr>
        <w:t>L</w:t>
      </w:r>
      <w:r w:rsidR="00837513" w:rsidRPr="00837513">
        <w:rPr>
          <w:rFonts w:ascii="Times New Roman" w:eastAsia="Times New Roman" w:hAnsi="Times New Roman" w:cs="Times New Roman"/>
          <w:b/>
          <w:i/>
          <w:lang w:eastAsia="pl-PL"/>
        </w:rPr>
        <w:t>inoryt</w:t>
      </w:r>
      <w:r w:rsidR="00837513" w:rsidRPr="00837513">
        <w:rPr>
          <w:rFonts w:ascii="Times New Roman" w:eastAsia="Times New Roman" w:hAnsi="Times New Roman" w:cs="Times New Roman"/>
          <w:lang w:eastAsia="pl-PL"/>
        </w:rPr>
        <w:t xml:space="preserve"> 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 xml:space="preserve">to </w:t>
      </w:r>
      <w:r w:rsidR="00837513" w:rsidRPr="00837513">
        <w:rPr>
          <w:rFonts w:ascii="Times New Roman" w:eastAsia="Times New Roman" w:hAnsi="Times New Roman" w:cs="Times New Roman"/>
          <w:lang w:eastAsia="pl-PL"/>
        </w:rPr>
        <w:t>technika graficzna druku wypukłego i nazwa odbitki wykonanej tą techniką</w:t>
      </w:r>
      <w:r w:rsidR="00837513" w:rsidRPr="008F4EB5">
        <w:rPr>
          <w:rFonts w:ascii="Times New Roman" w:eastAsia="Times New Roman" w:hAnsi="Times New Roman" w:cs="Times New Roman"/>
          <w:lang w:eastAsia="pl-PL"/>
        </w:rPr>
        <w:t>.</w:t>
      </w:r>
    </w:p>
    <w:p w:rsidR="00837513" w:rsidRPr="008F4EB5" w:rsidRDefault="008375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Times New Roman" w:hAnsi="Times New Roman" w:cs="Times New Roman"/>
          <w:lang w:eastAsia="pl-PL"/>
        </w:rPr>
        <w:t>W</w:t>
      </w:r>
      <w:r w:rsidRPr="00837513">
        <w:rPr>
          <w:rFonts w:ascii="Times New Roman" w:eastAsia="Times New Roman" w:hAnsi="Times New Roman" w:cs="Times New Roman"/>
          <w:lang w:eastAsia="pl-PL"/>
        </w:rPr>
        <w:t xml:space="preserve"> płycie linoleum wycina się nożem i innymi narzędziami partie kompozycji mające w odbitce pozostać białe; pozostałe części powleka się farbą i wykonuje odbitki; linoryty charakteryzują silne kontrasty czerni i bieli oraz większa niż w drzeworycie swoboda rysunku (linoleum pozwala na cięcie we wszystkich kierunkach). </w:t>
      </w:r>
    </w:p>
    <w:p w:rsidR="00837513" w:rsidRPr="008F4EB5" w:rsidRDefault="008375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eastAsia="Times New Roman" w:hAnsi="Times New Roman" w:cs="Times New Roman"/>
          <w:lang w:eastAsia="pl-PL"/>
        </w:rPr>
        <w:t>Przykład linorytu:</w:t>
      </w:r>
    </w:p>
    <w:p w:rsidR="00B81113" w:rsidRPr="008F4EB5" w:rsidRDefault="00B811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837513" w:rsidRPr="00837513" w:rsidRDefault="00837513" w:rsidP="008375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8F4EB5">
        <w:rPr>
          <w:rFonts w:ascii="Times New Roman" w:hAnsi="Times New Roman" w:cs="Times New Roman"/>
        </w:rPr>
        <w:drawing>
          <wp:inline distT="0" distB="0" distL="0" distR="0" wp14:anchorId="1EF93504" wp14:editId="0783147F">
            <wp:extent cx="2615979" cy="1827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8948" cy="18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05" w:rsidRPr="008F4EB5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7513" w:rsidRPr="008F4EB5" w:rsidRDefault="00837513" w:rsidP="00837513">
      <w:pPr>
        <w:spacing w:after="0" w:line="240" w:lineRule="auto"/>
        <w:rPr>
          <w:rFonts w:ascii="Times New Roman" w:eastAsia="Calibri" w:hAnsi="Times New Roman" w:cs="Times New Roman"/>
        </w:rPr>
      </w:pPr>
      <w:r w:rsidRPr="008F4EB5">
        <w:rPr>
          <w:rFonts w:ascii="Times New Roman" w:hAnsi="Times New Roman" w:cs="Times New Roman"/>
        </w:rPr>
        <w:drawing>
          <wp:inline distT="0" distB="0" distL="0" distR="0" wp14:anchorId="2581949E" wp14:editId="683EA4AE">
            <wp:extent cx="3156667" cy="1995170"/>
            <wp:effectExtent l="0" t="0" r="571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0336" cy="20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DC" w:rsidRPr="008F4EB5" w:rsidRDefault="004037DC" w:rsidP="00837513">
      <w:pPr>
        <w:spacing w:after="0" w:line="240" w:lineRule="auto"/>
        <w:rPr>
          <w:rFonts w:ascii="Times New Roman" w:eastAsia="Calibri" w:hAnsi="Times New Roman" w:cs="Times New Roman"/>
        </w:rPr>
      </w:pPr>
    </w:p>
    <w:p w:rsidR="004037DC" w:rsidRPr="008F4EB5" w:rsidRDefault="004037DC" w:rsidP="00837513">
      <w:pPr>
        <w:spacing w:after="0" w:line="240" w:lineRule="auto"/>
        <w:rPr>
          <w:rFonts w:ascii="Times New Roman" w:eastAsia="Calibri" w:hAnsi="Times New Roman" w:cs="Times New Roman"/>
        </w:rPr>
      </w:pPr>
      <w:r w:rsidRPr="008F4EB5">
        <w:rPr>
          <w:rFonts w:ascii="Times New Roman" w:hAnsi="Times New Roman" w:cs="Times New Roman"/>
        </w:rPr>
        <w:drawing>
          <wp:inline distT="0" distB="0" distL="0" distR="0" wp14:anchorId="292910E2" wp14:editId="7916C01D">
            <wp:extent cx="2981739" cy="358838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13552" cy="36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05" w:rsidRPr="008F4EB5" w:rsidRDefault="004037DC" w:rsidP="004037DC">
      <w:pPr>
        <w:spacing w:after="0" w:line="240" w:lineRule="auto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</w:rPr>
        <w:t xml:space="preserve"> </w:t>
      </w:r>
    </w:p>
    <w:p w:rsidR="00B81113" w:rsidRPr="008F4EB5" w:rsidRDefault="00B81113" w:rsidP="004037D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037DC" w:rsidRPr="008F4EB5" w:rsidRDefault="004037DC" w:rsidP="004037DC">
      <w:pPr>
        <w:spacing w:after="0" w:line="240" w:lineRule="auto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</w:rPr>
        <w:t>Filmy instruktażowe:</w:t>
      </w:r>
    </w:p>
    <w:p w:rsidR="004037DC" w:rsidRPr="008F4EB5" w:rsidRDefault="004037DC" w:rsidP="004037DC">
      <w:pPr>
        <w:spacing w:after="0" w:line="240" w:lineRule="auto"/>
        <w:rPr>
          <w:rFonts w:ascii="Times New Roman" w:eastAsia="Calibri" w:hAnsi="Times New Roman" w:cs="Times New Roman"/>
        </w:rPr>
      </w:pPr>
      <w:hyperlink r:id="rId52" w:history="1">
        <w:r w:rsidRPr="008F4EB5">
          <w:rPr>
            <w:rStyle w:val="Hipercze"/>
            <w:rFonts w:ascii="Times New Roman" w:eastAsia="Calibri" w:hAnsi="Times New Roman" w:cs="Times New Roman"/>
          </w:rPr>
          <w:t>https://www.youtube.com/watch?v=TFPdakIXh9E</w:t>
        </w:r>
      </w:hyperlink>
      <w:r w:rsidRPr="008F4EB5">
        <w:rPr>
          <w:rFonts w:ascii="Times New Roman" w:eastAsia="Calibri" w:hAnsi="Times New Roman" w:cs="Times New Roman"/>
        </w:rPr>
        <w:t xml:space="preserve"> Jak zrobić linoryt? | grafika warsztatowa</w:t>
      </w:r>
    </w:p>
    <w:p w:rsidR="004037DC" w:rsidRPr="008F4EB5" w:rsidRDefault="004037DC" w:rsidP="004037DC">
      <w:pPr>
        <w:spacing w:after="0" w:line="240" w:lineRule="auto"/>
        <w:rPr>
          <w:rFonts w:ascii="Times New Roman" w:eastAsia="Calibri" w:hAnsi="Times New Roman" w:cs="Times New Roman"/>
        </w:rPr>
      </w:pPr>
      <w:hyperlink r:id="rId53" w:history="1">
        <w:r w:rsidRPr="008F4EB5">
          <w:rPr>
            <w:rStyle w:val="Hipercze"/>
            <w:rFonts w:ascii="Times New Roman" w:eastAsia="Calibri" w:hAnsi="Times New Roman" w:cs="Times New Roman"/>
          </w:rPr>
          <w:t>https://www.youtube.com/watch?v=g8J-1si_dlE</w:t>
        </w:r>
      </w:hyperlink>
      <w:r w:rsidRPr="008F4EB5">
        <w:rPr>
          <w:rFonts w:ascii="Times New Roman" w:eastAsia="Calibri" w:hAnsi="Times New Roman" w:cs="Times New Roman"/>
        </w:rPr>
        <w:t xml:space="preserve"> Elementarz technik graficznych: linoryt</w:t>
      </w:r>
    </w:p>
    <w:p w:rsidR="00B81113" w:rsidRPr="008F4EB5" w:rsidRDefault="00B81113" w:rsidP="004037DC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1113" w:rsidRPr="008F4EB5" w:rsidRDefault="00B81113" w:rsidP="004037DC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1113" w:rsidRPr="008F4EB5" w:rsidRDefault="00B81113" w:rsidP="004037DC">
      <w:pPr>
        <w:spacing w:after="0" w:line="240" w:lineRule="auto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</w:rPr>
        <w:t xml:space="preserve">W bardziej dostępnej wersji możecie wykorzystać grubą okładkę z zeszytu, taką, która pokryta jest delikatną folią, narysować na niej dowolny wzór i wraz z rodzicami wyciąć ten wzór delikatnie ostrym nożykiem. Następnie należy delikatnie pomalować nasz obrazek i przyłożyć do niego kartkę tak, żeby nasz wzór na niej się odbił. To taka duża pieczątka </w:t>
      </w:r>
      <w:r w:rsidRPr="008F4EB5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8F4EB5">
        <w:rPr>
          <w:rFonts w:ascii="Times New Roman" w:eastAsia="Calibri" w:hAnsi="Times New Roman" w:cs="Times New Roman"/>
        </w:rPr>
        <w:t xml:space="preserve"> . Powodzenia!</w:t>
      </w:r>
    </w:p>
    <w:p w:rsidR="001A39DC" w:rsidRPr="008F4EB5" w:rsidRDefault="00017A05" w:rsidP="00017A0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 w:rsidRPr="008F4EB5">
        <w:rPr>
          <w:rFonts w:ascii="Times New Roman" w:eastAsia="Calibri" w:hAnsi="Times New Roman" w:cs="Times New Roman"/>
          <w:b/>
          <w:i/>
        </w:rPr>
        <w:t xml:space="preserve"> </w:t>
      </w:r>
      <w:r w:rsidR="00B51C63" w:rsidRPr="008F4EB5">
        <w:rPr>
          <w:rFonts w:ascii="Times New Roman" w:eastAsia="Calibri" w:hAnsi="Times New Roman" w:cs="Times New Roman"/>
          <w:b/>
          <w:i/>
        </w:rPr>
        <w:t>Dziękuję !</w:t>
      </w:r>
    </w:p>
    <w:sectPr w:rsidR="001A39DC" w:rsidRPr="008F4EB5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A39DC"/>
    <w:rsid w:val="001F4EDC"/>
    <w:rsid w:val="002D37F7"/>
    <w:rsid w:val="004037DC"/>
    <w:rsid w:val="00447F1E"/>
    <w:rsid w:val="00464DB8"/>
    <w:rsid w:val="004F3977"/>
    <w:rsid w:val="00660B55"/>
    <w:rsid w:val="007B62CA"/>
    <w:rsid w:val="007C24F9"/>
    <w:rsid w:val="00804B54"/>
    <w:rsid w:val="00837513"/>
    <w:rsid w:val="008B7113"/>
    <w:rsid w:val="008F4EB5"/>
    <w:rsid w:val="009B6215"/>
    <w:rsid w:val="00A566D8"/>
    <w:rsid w:val="00B51C63"/>
    <w:rsid w:val="00B81113"/>
    <w:rsid w:val="00BA7775"/>
    <w:rsid w:val="00D8116A"/>
    <w:rsid w:val="00E41334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D1C2D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4DB8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m.pwn.pl/ency/jpg/583/1u/d20i0157.jp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hyperlink" Target="https://mm.pwn.pl/ency/jpg/583/2i/f33i1240.jpg" TargetMode="External"/><Relationship Id="rId21" Type="http://schemas.openxmlformats.org/officeDocument/2006/relationships/hyperlink" Target="https://mm.pwn.pl/ency/jpg/583/2o/d94i6957.jpg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hyperlink" Target="https://mm.pwn.pl/ency/jpg/583/5/d07i0147.jpg" TargetMode="External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hyperlink" Target="https://encyklopedia.pwn.pl/haslo/olejne-malarstwo;3950765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9" Type="http://schemas.openxmlformats.org/officeDocument/2006/relationships/hyperlink" Target="https://mm.pwn.pl/ency/jpg/583/22/d21i0106.jpg" TargetMode="External"/><Relationship Id="rId11" Type="http://schemas.openxmlformats.org/officeDocument/2006/relationships/hyperlink" Target="https://encyklopedia.pwn.pl/haslo/mozaika;3943942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hyperlink" Target="https://mm.pwn.pl/ency/jpg/583/x/d83i2005.jpg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mm.pwn.pl/ency/jpg/583/2a/d33i3158.jpg" TargetMode="External"/><Relationship Id="rId53" Type="http://schemas.openxmlformats.org/officeDocument/2006/relationships/hyperlink" Target="https://www.youtube.com/watch?v=g8J-1si_dlE" TargetMode="External"/><Relationship Id="rId5" Type="http://schemas.openxmlformats.org/officeDocument/2006/relationships/hyperlink" Target="https://encyklopedia.pwn.pl/haslo/pejzazowe-malarstwo;3955514.html" TargetMode="External"/><Relationship Id="rId10" Type="http://schemas.openxmlformats.org/officeDocument/2006/relationships/hyperlink" Target="https://encyklopedia.pwn.pl/haslo/fresk;4008304.html" TargetMode="External"/><Relationship Id="rId19" Type="http://schemas.openxmlformats.org/officeDocument/2006/relationships/hyperlink" Target="https://mm.pwn.pl/ency/jpg/583/25/d90i1964.jpg" TargetMode="External"/><Relationship Id="rId31" Type="http://schemas.openxmlformats.org/officeDocument/2006/relationships/hyperlink" Target="https://mm.pwn.pl/ency/jpg/583/w/d88i8383.jpg" TargetMode="External"/><Relationship Id="rId44" Type="http://schemas.openxmlformats.org/officeDocument/2006/relationships/image" Target="media/image16.jpeg"/><Relationship Id="rId52" Type="http://schemas.openxmlformats.org/officeDocument/2006/relationships/hyperlink" Target="https://www.youtube.com/watch?v=TFPdakIXh9E" TargetMode="External"/><Relationship Id="rId4" Type="http://schemas.openxmlformats.org/officeDocument/2006/relationships/hyperlink" Target="https://encyklopedia.pwn.pl/haslo/miniatura;4009177.html" TargetMode="External"/><Relationship Id="rId9" Type="http://schemas.openxmlformats.org/officeDocument/2006/relationships/hyperlink" Target="https://encyklopedia.pwn.pl/haslo/pastel;3954868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yperlink" Target="https://mm.pwn.pl/ency/jpg/583/2/d07i0144.jpg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mm.pwn.pl/ency/jpg/583/0/d07i0023.jpg" TargetMode="External"/><Relationship Id="rId43" Type="http://schemas.openxmlformats.org/officeDocument/2006/relationships/hyperlink" Target="https://mm.pwn.pl/ency/jpg/583/t/d90i7651.jpg" TargetMode="External"/><Relationship Id="rId48" Type="http://schemas.openxmlformats.org/officeDocument/2006/relationships/image" Target="media/image18.jpeg"/><Relationship Id="rId8" Type="http://schemas.openxmlformats.org/officeDocument/2006/relationships/hyperlink" Target="https://encyklopedia.pwn.pl/haslo/akwarela;4007532.html" TargetMode="External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2" Type="http://schemas.openxmlformats.org/officeDocument/2006/relationships/hyperlink" Target="https://encyklopedia.pwn.pl/haslo/witraz;3996926.html" TargetMode="External"/><Relationship Id="rId17" Type="http://schemas.openxmlformats.org/officeDocument/2006/relationships/hyperlink" Target="https://mm.pwn.pl/ency/jpg/583/28/d89i6267.jpg" TargetMode="External"/><Relationship Id="rId25" Type="http://schemas.openxmlformats.org/officeDocument/2006/relationships/hyperlink" Target="https://mm.pwn.pl/ency/jpg/583/2f/d89i6271.jpg" TargetMode="External"/><Relationship Id="rId33" Type="http://schemas.openxmlformats.org/officeDocument/2006/relationships/hyperlink" Target="https://mm.pwn.pl/ency/jpg/583/1x/d89i6259.jpg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20" Type="http://schemas.openxmlformats.org/officeDocument/2006/relationships/image" Target="media/image4.jpeg"/><Relationship Id="rId41" Type="http://schemas.openxmlformats.org/officeDocument/2006/relationships/hyperlink" Target="https://mm.pwn.pl/ency/jpg/583/22/d63i1237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cyklopedia.pwn.pl/haslo/portret;3960767.html" TargetMode="External"/><Relationship Id="rId15" Type="http://schemas.openxmlformats.org/officeDocument/2006/relationships/hyperlink" Target="https://mm.pwn.pl/ency/jpg/583/19/d88i0571.jpg" TargetMode="External"/><Relationship Id="rId23" Type="http://schemas.openxmlformats.org/officeDocument/2006/relationships/hyperlink" Target="https://mm.pwn.pl/ency/jpg/583/l/d20i0121.jpg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980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12</cp:revision>
  <cp:lastPrinted>2020-05-25T13:04:00Z</cp:lastPrinted>
  <dcterms:created xsi:type="dcterms:W3CDTF">2020-05-25T11:47:00Z</dcterms:created>
  <dcterms:modified xsi:type="dcterms:W3CDTF">2020-10-19T18:14:00Z</dcterms:modified>
</cp:coreProperties>
</file>